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09" w:rsidRPr="00793B09" w:rsidRDefault="00793B09" w:rsidP="00793B09">
      <w:pPr>
        <w:spacing w:before="300" w:after="150" w:line="480" w:lineRule="atLeast"/>
        <w:jc w:val="center"/>
        <w:outlineLvl w:val="0"/>
        <w:rPr>
          <w:rFonts w:ascii="Arial" w:eastAsia="Times New Roman" w:hAnsi="Arial" w:cs="Arial"/>
          <w:b/>
          <w:bCs/>
          <w:color w:val="ECB553"/>
          <w:kern w:val="36"/>
          <w:sz w:val="36"/>
          <w:szCs w:val="36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ECB553"/>
          <w:kern w:val="36"/>
          <w:sz w:val="36"/>
          <w:szCs w:val="36"/>
          <w:lang w:eastAsia="it-IT"/>
        </w:rPr>
        <w:t>Autoimprenditorialità e ricambio generazionale in agricoltura</w:t>
      </w:r>
    </w:p>
    <w:p w:rsidR="00793B09" w:rsidRPr="00793B09" w:rsidRDefault="00793B09" w:rsidP="00793B09">
      <w:pPr>
        <w:numPr>
          <w:ilvl w:val="0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A cosa serve:</w:t>
      </w: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 favorire il ricambio generazionale in agricoltura ed ampliare aziende agricole esistenti condotte da giovani</w:t>
      </w:r>
    </w:p>
    <w:p w:rsidR="00793B09" w:rsidRPr="00793B09" w:rsidRDefault="00793B09" w:rsidP="00793B09">
      <w:pPr>
        <w:numPr>
          <w:ilvl w:val="0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A chi si rivolge:</w:t>
      </w: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 micro, piccole e medie imprese agricole organizzate sotto forma di ditta individuale o di società, composte da giovani di età compresa tra i 18 e i 40 anni non compiuti, con i seguenti requisiti: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subentro: imprese agricole regolarmente costituite da non più di 6 mesi con sede operativa sul territorio nazionale, con azienda cedente attiva da almeno due anni, economicamente e finanziariamente sana;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ampliamento: imprese agricole attive e regolarmente costituite da almeno due anni, con sede operativa sul territorio nazionale, economicamente e finanziariamente sane</w:t>
      </w:r>
    </w:p>
    <w:p w:rsidR="00793B09" w:rsidRPr="00793B09" w:rsidRDefault="00793B09" w:rsidP="00793B09">
      <w:pPr>
        <w:numPr>
          <w:ilvl w:val="0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Caratteristiche dell'intervento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Investimenti fino a 1.500.000 €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Durata da 5 a 15 anni</w:t>
      </w:r>
    </w:p>
    <w:p w:rsidR="00793B09" w:rsidRPr="00793B09" w:rsidRDefault="00793B09" w:rsidP="00793B09">
      <w:pPr>
        <w:numPr>
          <w:ilvl w:val="0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Cosa finanzia</w:t>
      </w: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 : progetti di sviluppo o consolidamento nei settori della produzione agricola, della trasformazione e commercializzazione di prodotti agricoli e della diversificazione del reddito agricolo, in particolare: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la spesa per lo studio di fattibilità è ammissibile nella misura del 2% del valore complessivo dell'investimento da realizzare; inoltre la somma delle spese relative allo studio di fattibilità, ai servizi di progettazione sono ammissibili complessivamente entro il limite del 12% dell'investimento da realizzare;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le spese relative alle opere agronomiche sono ammissibili per i soli progetti nel settore della produzione agricola primaria;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la somma delle spese relative alle opere agronomiche, opere edilizie e oneri per il rilascio della concessione, ai fini dell'ammissibilità non deve superare il 40% dell'investimento da realizzare;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per le spese di investimento relative al settore della produzione agricola primaria, della trasformazione e della commercializzazione dei prodotti agricoli, l'acquisto di terreni è ammissibile solo in misura non superiore al 10% dei costi ammissibili totali dell'intervento;</w:t>
      </w:r>
    </w:p>
    <w:p w:rsidR="00793B09" w:rsidRPr="00793B09" w:rsidRDefault="00793B09" w:rsidP="00793B09">
      <w:pPr>
        <w:numPr>
          <w:ilvl w:val="1"/>
          <w:numId w:val="1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lastRenderedPageBreak/>
        <w:t>la potenzialità dei nuovi impianti di trasformazione non deve essere superiore al 100% della capacità produttiva, stimata a regime, dell'azienda agricola oggetto dell'intervento.</w:t>
      </w:r>
    </w:p>
    <w:p w:rsidR="00793B09" w:rsidRPr="00793B09" w:rsidRDefault="00793B09" w:rsidP="00793B09">
      <w:pPr>
        <w:numPr>
          <w:ilvl w:val="0"/>
          <w:numId w:val="2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Agevolazioni:</w:t>
      </w:r>
    </w:p>
    <w:p w:rsidR="00793B09" w:rsidRPr="00793B09" w:rsidRDefault="00793B09" w:rsidP="00793B09">
      <w:pPr>
        <w:numPr>
          <w:ilvl w:val="1"/>
          <w:numId w:val="2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mutuo agevolato, a tasso zero, per un importo non superiore al 75 per cento delle spese ammissibili;</w:t>
      </w:r>
    </w:p>
    <w:p w:rsidR="00793B09" w:rsidRPr="00793B09" w:rsidRDefault="00793B09" w:rsidP="00793B09">
      <w:pPr>
        <w:numPr>
          <w:ilvl w:val="1"/>
          <w:numId w:val="2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nelle regioni Abruzzo, Basilicata, Calabria, Campania, Molise, Puglia, Sardegna e Sicilia, in alternativa ai mutui agevolati di cui al punto precedente, un contributo a fondo perduto fino al 35 per cento della spesa ammissibile nonché un mutuo agevolato, a tasso zero, di importo non superiore al 60 per cento della spesa ammissibile.</w:t>
      </w:r>
    </w:p>
    <w:p w:rsidR="00793B09" w:rsidRPr="00793B09" w:rsidRDefault="00793B09" w:rsidP="00793B09">
      <w:pPr>
        <w:spacing w:after="0" w:line="360" w:lineRule="atLeast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 xml:space="preserve">Per le attività di agriturismo e le altre attività di diversificazione del reddito agricolo saranno concesse agevolazioni in regime de </w:t>
      </w:r>
      <w:proofErr w:type="spellStart"/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minimis</w:t>
      </w:r>
      <w:proofErr w:type="spellEnd"/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 xml:space="preserve"> nel limite massimo di 200.000,00 €.</w:t>
      </w:r>
    </w:p>
    <w:p w:rsidR="00793B09" w:rsidRPr="00793B09" w:rsidRDefault="00793B09" w:rsidP="00793B09">
      <w:pPr>
        <w:numPr>
          <w:ilvl w:val="0"/>
          <w:numId w:val="3"/>
        </w:numPr>
        <w:spacing w:before="75" w:after="300" w:line="330" w:lineRule="atLeast"/>
        <w:ind w:left="0"/>
        <w:jc w:val="both"/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</w:pPr>
      <w:r w:rsidRPr="00793B09">
        <w:rPr>
          <w:rFonts w:ascii="Arial" w:eastAsia="Times New Roman" w:hAnsi="Arial" w:cs="Arial"/>
          <w:b/>
          <w:bCs/>
          <w:color w:val="4A4A4A"/>
          <w:sz w:val="23"/>
          <w:szCs w:val="23"/>
          <w:lang w:eastAsia="it-IT"/>
        </w:rPr>
        <w:t>Cosa non finanzia:</w:t>
      </w:r>
      <w:r w:rsidRPr="00793B09">
        <w:rPr>
          <w:rFonts w:ascii="Helvetica" w:eastAsia="Times New Roman" w:hAnsi="Helvetica" w:cs="Helvetica"/>
          <w:color w:val="4A4A4A"/>
          <w:sz w:val="23"/>
          <w:szCs w:val="23"/>
          <w:lang w:eastAsia="it-IT"/>
        </w:rPr>
        <w:t> diritti di produzione, animali e piante annuali, lavori di drenaggio, impianti per la produzione di biocarburanti e per la produzione di energia termica ed elettrica da fonti rinnovabili, investimenti di sostituzione di beni preesistenti, lavori in economia, impianti e macchinari usati, capitale circolante.</w:t>
      </w:r>
    </w:p>
    <w:p w:rsidR="00C13AA5" w:rsidRDefault="00680CF8" w:rsidP="00793B09">
      <w:pPr>
        <w:jc w:val="center"/>
      </w:pPr>
      <w:r>
        <w:rPr>
          <w:noProof/>
          <w:lang w:eastAsia="it-IT"/>
        </w:rPr>
        <w:drawing>
          <wp:inline distT="0" distB="0" distL="0" distR="0" wp14:anchorId="14FC38D4" wp14:editId="22148613">
            <wp:extent cx="6066155" cy="4715510"/>
            <wp:effectExtent l="0" t="0" r="0" b="8890"/>
            <wp:docPr id="1" name="Immagine 1" descr="http://www.ismea.it/flex/images/7/5/a/D.eab1ccd569b51d6eaeb0/autoi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mea.it/flex/images/7/5/a/D.eab1ccd569b51d6eaeb0/autoimp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471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3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B7FF1"/>
    <w:multiLevelType w:val="multilevel"/>
    <w:tmpl w:val="504CE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022755"/>
    <w:multiLevelType w:val="multilevel"/>
    <w:tmpl w:val="6254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C367E1"/>
    <w:multiLevelType w:val="multilevel"/>
    <w:tmpl w:val="FC5CE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09"/>
    <w:rsid w:val="000D086F"/>
    <w:rsid w:val="00112DE8"/>
    <w:rsid w:val="001405F6"/>
    <w:rsid w:val="002B4456"/>
    <w:rsid w:val="004D5A8E"/>
    <w:rsid w:val="00534270"/>
    <w:rsid w:val="0059332F"/>
    <w:rsid w:val="00680CF8"/>
    <w:rsid w:val="006D2327"/>
    <w:rsid w:val="00793B09"/>
    <w:rsid w:val="00A41BBE"/>
    <w:rsid w:val="00F1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0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0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0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2</cp:revision>
  <dcterms:created xsi:type="dcterms:W3CDTF">2019-04-12T13:43:00Z</dcterms:created>
  <dcterms:modified xsi:type="dcterms:W3CDTF">2019-04-12T13:46:00Z</dcterms:modified>
</cp:coreProperties>
</file>